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武汉海事法院：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我公司自愿报名入围</w:t>
      </w:r>
      <w:r>
        <w:rPr>
          <w:rFonts w:hint="eastAsia" w:ascii="仿宋_GB2312" w:hAnsi="仿宋_GB2312" w:eastAsia="仿宋_GB2312" w:cs="仿宋_GB2312"/>
          <w:sz w:val="32"/>
          <w:szCs w:val="32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年武汉海事法院拍辅机构名单库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，特向贵院做出如下承诺：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近两年内（</w:t>
      </w:r>
      <w:r>
        <w:rPr>
          <w:rFonts w:hint="eastAsia" w:ascii="仿宋_GB2312" w:hAnsi="仿宋_GB2312" w:eastAsia="仿宋_GB2312" w:cs="仿宋_GB2312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日），我公司在经营活动中没有违法违纪行为。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2.无人民法院工作人员及其近亲属在我公司担任法定代表人、主要负责人或股东。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3.我公司严格遵守《最高人民法院关于人民法院网络司法拍卖若干问题的规定》（法释〔</w:t>
      </w:r>
      <w:r>
        <w:rPr>
          <w:rFonts w:hint="eastAsia" w:ascii="仿宋_GB2312" w:hAnsi="仿宋_GB2312" w:eastAsia="仿宋_GB2312" w:cs="仿宋_GB2312"/>
          <w:sz w:val="32"/>
          <w:szCs w:val="32"/>
        </w:rPr>
        <w:t>2016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号）和《湖北省高级人民法院关于网络司法拍卖辅助工作管理办法（试行）》（鄂高法〔</w:t>
      </w:r>
      <w:r>
        <w:rPr>
          <w:rFonts w:hint="eastAsia" w:ascii="仿宋_GB2312" w:hAnsi="仿宋_GB2312" w:eastAsia="仿宋_GB2312" w:cs="仿宋_GB231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号）等文件规定，自觉服从法院工作安排并接受法院监管。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4.我公司提交的报名材料内容真实，如有弄虚作假，自愿接受法院惩处。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公司（盖公章）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4DAA"/>
    <w:rsid w:val="00604DAA"/>
    <w:rsid w:val="0071254F"/>
    <w:rsid w:val="DBF8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49</Words>
  <Characters>285</Characters>
  <Lines>2</Lines>
  <Paragraphs>1</Paragraphs>
  <TotalTime>2</TotalTime>
  <ScaleCrop>false</ScaleCrop>
  <LinksUpToDate>false</LinksUpToDate>
  <CharactersWithSpaces>333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2026-03-16T09:26:00Z</dcterms:created>
  <dc:creator>陈楠</dc:creator>
  <cp:lastModifiedBy>guest</cp:lastModifiedBy>
  <dcterms:modified xsi:type="dcterms:W3CDTF">2026-03-16T09:46:46Z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